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b/>
          <w:sz w:val="24"/>
          <w:szCs w:val="24"/>
          <w:u w:color="000000"/>
        </w:rPr>
        <w:t>TRƯNG CẦU Ý DÂN</w:t>
      </w:r>
      <w:r w:rsidRPr="002D7FEB">
        <w:rPr>
          <w:rFonts w:eastAsia="Calibri" w:cs="Times New Roman"/>
          <w:sz w:val="24"/>
          <w:szCs w:val="24"/>
          <w:u w:color="000000"/>
        </w:rPr>
        <w:t xml:space="preserve">, </w:t>
      </w:r>
      <w:r w:rsidRPr="002D7FEB">
        <w:rPr>
          <w:rFonts w:eastAsia="Calibri" w:cs="Times New Roman"/>
          <w:szCs w:val="28"/>
          <w:u w:color="000000"/>
        </w:rPr>
        <w:t xml:space="preserve">hình thức dân chủ trực tiếp được thực hiện tại nhiều nước trên thế giới do nhà nước thực hiện theo quy định của pháp luật để nhân dân thể hiện chính kiến, tham gia quyết định các vấn đề quan trọng của đất nước; việc nhà </w:t>
      </w:r>
      <w:r w:rsidRPr="002D7FEB">
        <w:rPr>
          <w:rFonts w:eastAsia="Calibri" w:cs="Times New Roman"/>
          <w:szCs w:val="28"/>
          <w:u w:color="000000"/>
          <w:lang w:val="vi-VN"/>
        </w:rPr>
        <w:t>nước tổ chức để cử tri cả nước trực tiếp biểu quyết bằng hình thức bỏ phiếu quyết định các vấn đề quan trọng của đất nước theo quy định của Pháp luật</w:t>
      </w:r>
      <w:r w:rsidRPr="002D7FEB">
        <w:rPr>
          <w:rFonts w:eastAsia="Calibri" w:cs="Times New Roman"/>
          <w:szCs w:val="28"/>
          <w:u w:color="000000"/>
        </w:rPr>
        <w:t>.</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TCYD là một hình thức thực hiện dân chủ trực tiếp điển hình, thể hiện quyền của người dân trong quyết định các vấn đề quan trọng của đất nước. Tùy thuộc vào qui định của mỗi quốc gia, TCYD được thực hiện theo những thể thức, phạm vi và giá trị pháp lý khác nhau. Có quốc gia TCYD chỉ được tiến hành ở phạm vi toàn quốc, cũng có quốc gia thực hiện ở cấp độ vùng, bang, hay cấp địa phương; giá trị pháp lý của kết quả TCYD cũng tùy thuộc vào Hiến pháp, luật của các quốc gia. Về cơ bản, kết quả biểu quyết của người dân về vấn đề được trưng cầu là quyết định cuối cùng có ý nghĩa bắt buộc thi hành, nhưng cũng có trường hợp kết quả TCYD có ý nghĩa tư vấn, là cơ sở để cơ quan có thẩm quyền đưa ra quyết định cuối cùng.</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Tại Việt Nam, TCYD là việc Nhà nước tổ chức để cử tri cả nước trực tiếp biểu quyết bằng hình thức bỏ phiếu quyết định những vấn đề quan trọng của đất nước. Theo quy định của luật TCYD số 96/2015 QH13, các vấn đề TCYD bao gồm: 1) Toàn văn Hiến pháp hoặc một số nội dung quan trọng của Hiến pháp;  2) Vấn đề đặc biệt quan trọng về chủ quyền, lãnh thổ quốc gia, về quốc phòng, an ninh, đối ngoại có ảnh hưởng trực tiếp đến lợi ích quốc gia; 3) Vấn đề đặc biệt quan trọng về kinh tế - xã hội, có ảnh hưởng lớn đến sự phát triển của đất nước; 4) Vấn đề đặc biệt quan trọng khác của đất nước. </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Luật TCYD xác định các trường hợp không tổ chức TCYD: 1) Không tổ chức TCYD về nội dung đã TCYD, trong thời hạn 24 tháng kể từ ngày kêt quả TCYD được công bố; 2) Không tổ chức TCYD trong thời gian ban bố tình trạng chiến tranh, tình trạng khẩn cấp trong cả nước hoặc trong thời hạn 6 tháng kể từ ngày bãi bỏ tình trạng chiến tranh, bãi bỏ tình trạng khẩn cấp.</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Theo quy định của pháp luật Việt Nam, người có quyền bỏ phiếu TCYD là công dân nước Cộng hòa xã hội chủ nghĩa Việt Nam đủ 18 tuổi trở lên tính đến ngày TCYD, trừ người bị kết án tử hình đang trong thời gian chờ thi hành án, người đang phải chấp hành hình phạt tù mà không được hưởng án treo, người bị Tòa án tuyên bố mất năng lực hành vi dân sự.</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Pháp luật Việt Nam quy định các chủ thể có quyền đề nghị TCYD bao gồm: Ủy ban Thường vụ Quốc hội; Chủ tịch nước; Chính phủ hoặc ít nhất một phần ba tổng số đại biểu Quốc hội đề nghị.</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Trường hợp có từ một phần ba tổng số đại biểu Quốc hội trở lên kiến nghị Quôc hội quyết định việc TCYD về cùng một vấn đề, thì Ủy ban Thường vụ Quốc hội có trách nhiệm tổng hợp các kiến nghị của đại biểu Quốc hội, chuẩn bị hồ sơ trình Quốc hội xem xét quyết định. </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Đề nghị TCYD do các chủ thế có thẩm quyền trình Ủy ban Thường vụ Quốc hội xem xét, quyết định việc đưa nội dung TCYD vào dự kiến chương trình làm việc của Quốc hội tại kỳ họp gần nhất để Quốc hội xem xét quyết định nếu đáp ứng đủ các điều kiện của luật TCYD. Trước khi trình Quốc hội đề nghị TCYD </w:t>
      </w:r>
      <w:r w:rsidRPr="002D7FEB">
        <w:rPr>
          <w:rFonts w:eastAsia="Calibri" w:cs="Times New Roman"/>
          <w:szCs w:val="28"/>
          <w:u w:color="000000"/>
        </w:rPr>
        <w:lastRenderedPageBreak/>
        <w:t>phải được Hội đồng dân tộc, Ủy ban có liên quan của Quốc hội thẩm tra tại phiên họp toàn thể của Hội đồng dân tộc, Ủy ban của Quốc hội.</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Căn cứ nghị quyết của Quốc hội về TCYD, Ủy ban Thường vụ Quốc hội quyết định ngày bỏ phiếu TCYD - là ngày chủ nhật và phải được công bố chậm nhất 60 ngày trước ngày bỏ phiếu TCYD.</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Việc lập danh sách cử tri được giao cho Ủy ban nhân dân cấp xã thực hiện theo khu vực bỏ phiếu, danh sách cử tri phải niêm yết tại trụ sở Ủy ban nhân dân xã và các địa điểm công cộng của khu vực bỏ phiếu chậm nhất 30 ngày trước ngày bỏ phiếu để người dân kiểm tra.</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TCYD thực hiện theo nguyên tắc phổ thông, bình đẳng, trực tiếp và bỏ phiếu kín, cử tri bỏ phiếu theo các khu vực bỏ phiếu do Ủy ban nhân dân cấp xã quyết định và được Ủy ban nhân dân cấp huyện phê duyệt. Tại mỗi khu vực bỏ phiếu, thành lập tổ TCYD để phụ trách công tác này tại địa bàn.</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Phiếu TCYD được sử dụng thống nhất trong phạm vi cả nước, do Ủy ban Thường vụ Quốc hội qui định về nội dung, hình thức và được quản lý chặt chẽ. Cuộc TCYD hợp lệ phải đáp ứng các điều kiện: có ít nhất 3/4 tổng số cử tri cả nước có tên trong danh sách cử tri đi bỏ phiếu; nội dung TCYD được quá nửa số phiếu hợp lệ tán thành mới có giá trị thi hành, riêng đối với TCYD về Hiến pháp phải được ít nhất 2/3 số phiếu hợp lệ tán thành.</w:t>
      </w:r>
    </w:p>
    <w:p w:rsidR="002D7FEB" w:rsidRPr="002D7FEB" w:rsidRDefault="002D7FEB" w:rsidP="002D7FEB">
      <w:pPr>
        <w:spacing w:after="0" w:line="240" w:lineRule="auto"/>
        <w:jc w:val="both"/>
        <w:rPr>
          <w:rFonts w:eastAsia="Calibri" w:cs="Times New Roman"/>
          <w:szCs w:val="28"/>
          <w:u w:color="000000"/>
        </w:rPr>
      </w:pPr>
      <w:r w:rsidRPr="002D7FEB">
        <w:rPr>
          <w:rFonts w:eastAsia="Calibri" w:cs="Times New Roman"/>
          <w:szCs w:val="28"/>
          <w:u w:color="000000"/>
        </w:rPr>
        <w:t xml:space="preserve">         Báo cáo kết quả TCYD được các địa phương gửi về Ủy ban thường vụ Quốc hội. Ủy ban thường vụ Quốc hội ra nghị quyết xác nhận kết quả TCYD và công bố nghị quyết chậm nhất là 15 ngày kể từ ngày bỏ phiếu và báo cáo Quốc hội về kết quả TCYD tại kỳ họp gần nhất. Quốc hội quyết định các biện pháp cần thiết để thực hiện kết quả TCYD. </w:t>
      </w:r>
    </w:p>
    <w:p w:rsidR="002D7FEB" w:rsidRPr="002D7FEB" w:rsidRDefault="002D7FEB" w:rsidP="002D7FEB">
      <w:pPr>
        <w:spacing w:after="0" w:line="240" w:lineRule="auto"/>
        <w:jc w:val="right"/>
        <w:rPr>
          <w:rFonts w:eastAsia="Calibri" w:cs="Times New Roman"/>
          <w:b/>
          <w:bCs/>
          <w:sz w:val="22"/>
          <w:u w:color="000000"/>
        </w:rPr>
      </w:pPr>
      <w:r w:rsidRPr="002D7FEB">
        <w:rPr>
          <w:rFonts w:eastAsia="Calibri" w:cs="Times New Roman"/>
          <w:b/>
          <w:bCs/>
          <w:sz w:val="22"/>
          <w:u w:color="000000"/>
        </w:rPr>
        <w:t>LÊ MINH THÔNG</w:t>
      </w:r>
    </w:p>
    <w:p w:rsidR="002D7FEB" w:rsidRPr="002D7FEB" w:rsidRDefault="002D7FEB" w:rsidP="002D7FEB">
      <w:pPr>
        <w:spacing w:after="0" w:line="240" w:lineRule="auto"/>
        <w:jc w:val="both"/>
        <w:rPr>
          <w:rFonts w:eastAsia="Calibri" w:cs="Times New Roman"/>
          <w:b/>
          <w:bCs/>
          <w:sz w:val="24"/>
          <w:szCs w:val="24"/>
          <w:u w:color="000000"/>
        </w:rPr>
      </w:pPr>
      <w:r w:rsidRPr="002D7FEB">
        <w:rPr>
          <w:rFonts w:eastAsia="Calibri" w:cs="Times New Roman"/>
          <w:b/>
          <w:bCs/>
          <w:sz w:val="24"/>
          <w:szCs w:val="24"/>
          <w:u w:color="000000"/>
        </w:rPr>
        <w:t>Tài liệu tham khảo:</w:t>
      </w:r>
    </w:p>
    <w:p w:rsidR="002D7FEB" w:rsidRPr="002D7FEB" w:rsidRDefault="002D7FEB" w:rsidP="002D7FEB">
      <w:pPr>
        <w:spacing w:after="0" w:line="240" w:lineRule="auto"/>
        <w:jc w:val="both"/>
        <w:rPr>
          <w:rFonts w:eastAsia="Calibri" w:cs="Times New Roman"/>
          <w:sz w:val="24"/>
          <w:szCs w:val="24"/>
          <w:u w:color="000000"/>
        </w:rPr>
      </w:pPr>
      <w:r w:rsidRPr="002D7FEB">
        <w:rPr>
          <w:rFonts w:eastAsia="Calibri" w:cs="Times New Roman"/>
          <w:sz w:val="24"/>
          <w:szCs w:val="24"/>
          <w:u w:color="000000"/>
        </w:rPr>
        <w:t>1. Hiến pháp nước Cộng hòa xã hội chủ nghĩa Việt Nam 2013.</w:t>
      </w:r>
    </w:p>
    <w:p w:rsidR="002D7FEB" w:rsidRPr="002D7FEB" w:rsidRDefault="002D7FEB" w:rsidP="002D7FEB">
      <w:pPr>
        <w:spacing w:after="0" w:line="240" w:lineRule="auto"/>
        <w:jc w:val="both"/>
        <w:rPr>
          <w:rFonts w:eastAsia="Calibri" w:cs="Times New Roman"/>
          <w:sz w:val="24"/>
          <w:szCs w:val="24"/>
          <w:u w:color="000000"/>
        </w:rPr>
      </w:pPr>
      <w:r w:rsidRPr="002D7FEB">
        <w:rPr>
          <w:rFonts w:eastAsia="Calibri" w:cs="Times New Roman"/>
          <w:sz w:val="24"/>
          <w:szCs w:val="24"/>
          <w:u w:color="000000"/>
        </w:rPr>
        <w:t>2. Luật Trưng cầu ý dân số 96/2015 QH13 (25/11/2015).</w:t>
      </w:r>
    </w:p>
    <w:p w:rsidR="002D7FEB" w:rsidRPr="002D7FEB" w:rsidRDefault="002D7FEB" w:rsidP="002D7FEB">
      <w:pPr>
        <w:spacing w:after="0" w:line="240" w:lineRule="auto"/>
        <w:jc w:val="both"/>
        <w:rPr>
          <w:rFonts w:eastAsia="Calibri" w:cs="Times New Roman"/>
          <w:sz w:val="24"/>
          <w:szCs w:val="24"/>
          <w:u w:color="000000"/>
        </w:rPr>
      </w:pPr>
      <w:r w:rsidRPr="002D7FEB">
        <w:rPr>
          <w:rFonts w:eastAsia="Calibri" w:cs="Times New Roman"/>
          <w:sz w:val="24"/>
          <w:szCs w:val="24"/>
          <w:u w:color="000000"/>
        </w:rPr>
        <w:t xml:space="preserve">3. Sổ tay IDEA Quốc tế, </w:t>
      </w:r>
      <w:r w:rsidRPr="002D7FEB">
        <w:rPr>
          <w:rFonts w:eastAsia="Calibri" w:cs="Times New Roman"/>
          <w:i/>
          <w:sz w:val="24"/>
          <w:szCs w:val="24"/>
          <w:u w:color="000000"/>
        </w:rPr>
        <w:t>Dân chủ trực tiếp</w:t>
      </w:r>
      <w:r w:rsidRPr="002D7FEB">
        <w:rPr>
          <w:rFonts w:eastAsia="Calibri" w:cs="Times New Roman"/>
          <w:sz w:val="24"/>
          <w:szCs w:val="24"/>
          <w:u w:color="000000"/>
        </w:rPr>
        <w:t>, Nxb. Đại học Quốc gia Hà Nội, 2014.</w:t>
      </w:r>
    </w:p>
    <w:p w:rsidR="00F3618D" w:rsidRDefault="00F3618D">
      <w:bookmarkStart w:id="0" w:name="_GoBack"/>
      <w:bookmarkEnd w:id="0"/>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EB"/>
    <w:rsid w:val="002133F0"/>
    <w:rsid w:val="002D7FEB"/>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26B02-10A1-4E3B-8B3A-5F4AEB75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2025-12-08T06:53:00Z</dcterms:created>
  <dcterms:modified xsi:type="dcterms:W3CDTF">2025-12-08T06:54:00Z</dcterms:modified>
</cp:coreProperties>
</file>